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140" w:type="dxa"/>
        <w:tblInd w:w="0" w:type="dxa"/>
        <w:tblLayout w:type="fixed"/>
        <w:tblCellMar>
          <w:top w:w="0" w:type="dxa"/>
          <w:left w:w="108" w:type="dxa"/>
          <w:bottom w:w="0" w:type="dxa"/>
          <w:right w:w="108" w:type="dxa"/>
        </w:tblCellMar>
      </w:tblPr>
      <w:tblGrid>
        <w:gridCol w:w="1871"/>
        <w:gridCol w:w="7699"/>
        <w:gridCol w:w="945"/>
        <w:gridCol w:w="735"/>
        <w:gridCol w:w="720"/>
        <w:gridCol w:w="1170"/>
      </w:tblGrid>
      <w:tr w14:paraId="44B1C7D1">
        <w:tblPrEx>
          <w:tblCellMar>
            <w:top w:w="0" w:type="dxa"/>
            <w:left w:w="108" w:type="dxa"/>
            <w:bottom w:w="0" w:type="dxa"/>
            <w:right w:w="108" w:type="dxa"/>
          </w:tblCellMar>
        </w:tblPrEx>
        <w:trPr>
          <w:trHeight w:val="802" w:hRule="atLeast"/>
        </w:trPr>
        <w:tc>
          <w:tcPr>
            <w:tcW w:w="13140" w:type="dxa"/>
            <w:gridSpan w:val="6"/>
            <w:tcBorders>
              <w:top w:val="single" w:color="000000" w:sz="4" w:space="0"/>
              <w:left w:val="single" w:color="000000" w:sz="4" w:space="0"/>
              <w:bottom w:val="single" w:color="000000" w:sz="4" w:space="0"/>
              <w:right w:val="single" w:color="000000" w:sz="4" w:space="0"/>
            </w:tcBorders>
            <w:vAlign w:val="center"/>
          </w:tcPr>
          <w:p w14:paraId="78C5F79B">
            <w:pPr>
              <w:jc w:val="center"/>
              <w:rPr>
                <w:rFonts w:hint="eastAsia"/>
                <w:lang w:val="en-US" w:eastAsia="zh-CN"/>
              </w:rPr>
            </w:pPr>
            <w:r>
              <w:rPr>
                <w:rFonts w:hint="eastAsia"/>
                <w:sz w:val="24"/>
                <w:szCs w:val="24"/>
                <w:lang w:val="en-US" w:eastAsia="zh-CN"/>
              </w:rPr>
              <w:t>2026年秋季学期-精准智能化学微专业-课程内容与安排</w:t>
            </w:r>
          </w:p>
        </w:tc>
      </w:tr>
      <w:tr w14:paraId="420CE44C">
        <w:tblPrEx>
          <w:tblCellMar>
            <w:top w:w="0" w:type="dxa"/>
            <w:left w:w="108" w:type="dxa"/>
            <w:bottom w:w="0" w:type="dxa"/>
            <w:right w:w="108" w:type="dxa"/>
          </w:tblCellMar>
        </w:tblPrEx>
        <w:trPr>
          <w:trHeight w:val="692" w:hRule="atLeast"/>
        </w:trPr>
        <w:tc>
          <w:tcPr>
            <w:tcW w:w="1871" w:type="dxa"/>
            <w:tcBorders>
              <w:top w:val="single" w:color="auto" w:sz="4" w:space="0"/>
              <w:left w:val="single" w:color="auto" w:sz="4" w:space="0"/>
              <w:bottom w:val="single" w:color="auto" w:sz="4" w:space="0"/>
              <w:right w:val="single" w:color="auto" w:sz="4" w:space="0"/>
            </w:tcBorders>
            <w:shd w:val="clear" w:color="000000" w:fill="002060"/>
            <w:vAlign w:val="center"/>
          </w:tcPr>
          <w:p w14:paraId="08609AEA">
            <w:pPr>
              <w:jc w:val="center"/>
              <w:rPr>
                <w:rFonts w:hint="eastAsia" w:ascii="Times New Roman" w:hAnsi="Times New Roman" w:eastAsia="仿宋" w:cs="Times New Roman"/>
                <w:b/>
                <w:bCs/>
                <w:color w:val="FFFFFF"/>
                <w:sz w:val="24"/>
                <w:szCs w:val="24"/>
              </w:rPr>
            </w:pPr>
            <w:r>
              <w:rPr>
                <w:rFonts w:hint="eastAsia" w:ascii="Times New Roman" w:hAnsi="Times New Roman" w:eastAsia="仿宋" w:cs="Times New Roman"/>
                <w:b/>
                <w:bCs/>
                <w:color w:val="FFFFFF"/>
                <w:sz w:val="24"/>
                <w:szCs w:val="24"/>
              </w:rPr>
              <w:t>课程名称</w:t>
            </w:r>
          </w:p>
          <w:p w14:paraId="420CE447">
            <w:pPr>
              <w:jc w:val="center"/>
              <w:rPr>
                <w:rFonts w:hint="eastAsia" w:ascii="Times New Roman" w:hAnsi="Times New Roman" w:eastAsia="仿宋" w:cs="Times New Roman"/>
                <w:b/>
                <w:bCs/>
                <w:color w:val="FFFFFF"/>
                <w:sz w:val="24"/>
                <w:szCs w:val="24"/>
              </w:rPr>
            </w:pPr>
            <w:r>
              <w:rPr>
                <w:rFonts w:hint="eastAsia" w:ascii="Times New Roman" w:hAnsi="Times New Roman" w:eastAsia="仿宋" w:cs="Times New Roman"/>
                <w:b/>
                <w:bCs/>
                <w:color w:val="FFFFFF"/>
                <w:sz w:val="24"/>
                <w:szCs w:val="24"/>
              </w:rPr>
              <w:t>课程号</w:t>
            </w:r>
          </w:p>
        </w:tc>
        <w:tc>
          <w:tcPr>
            <w:tcW w:w="7699" w:type="dxa"/>
            <w:tcBorders>
              <w:top w:val="single" w:color="auto" w:sz="4" w:space="0"/>
              <w:left w:val="single" w:color="auto" w:sz="4" w:space="0"/>
              <w:bottom w:val="single" w:color="auto" w:sz="4" w:space="0"/>
              <w:right w:val="single" w:color="auto" w:sz="4" w:space="0"/>
            </w:tcBorders>
            <w:shd w:val="clear" w:color="000000" w:fill="002060"/>
            <w:vAlign w:val="center"/>
          </w:tcPr>
          <w:p w14:paraId="420CE448">
            <w:pPr>
              <w:jc w:val="center"/>
              <w:rPr>
                <w:rFonts w:hint="eastAsia" w:ascii="Times New Roman" w:hAnsi="Times New Roman" w:eastAsia="仿宋" w:cs="Times New Roman"/>
                <w:b/>
                <w:bCs/>
                <w:color w:val="FFFFFF"/>
                <w:sz w:val="24"/>
                <w:szCs w:val="24"/>
              </w:rPr>
            </w:pPr>
            <w:r>
              <w:rPr>
                <w:rFonts w:hint="eastAsia" w:ascii="Times New Roman" w:hAnsi="Times New Roman" w:eastAsia="仿宋" w:cs="Times New Roman"/>
                <w:b/>
                <w:bCs/>
                <w:color w:val="FFFFFF"/>
                <w:sz w:val="24"/>
                <w:szCs w:val="24"/>
              </w:rPr>
              <w:t>拟定课程内容</w:t>
            </w:r>
          </w:p>
        </w:tc>
        <w:tc>
          <w:tcPr>
            <w:tcW w:w="945" w:type="dxa"/>
            <w:tcBorders>
              <w:top w:val="single" w:color="auto" w:sz="4" w:space="0"/>
              <w:left w:val="single" w:color="auto" w:sz="4" w:space="0"/>
              <w:bottom w:val="single" w:color="auto" w:sz="4" w:space="0"/>
              <w:right w:val="single" w:color="auto" w:sz="4" w:space="0"/>
            </w:tcBorders>
            <w:shd w:val="clear" w:color="000000" w:fill="002060"/>
            <w:vAlign w:val="center"/>
          </w:tcPr>
          <w:p w14:paraId="420CE449">
            <w:pPr>
              <w:jc w:val="center"/>
              <w:rPr>
                <w:rFonts w:ascii="Times New Roman" w:hAnsi="Times New Roman" w:eastAsia="仿宋" w:cs="Times New Roman"/>
                <w:b/>
                <w:bCs/>
                <w:color w:val="FFFFFF"/>
                <w:sz w:val="24"/>
                <w:szCs w:val="24"/>
              </w:rPr>
            </w:pPr>
            <w:r>
              <w:rPr>
                <w:rFonts w:hint="eastAsia" w:ascii="Times New Roman" w:hAnsi="Times New Roman" w:eastAsia="仿宋" w:cs="Times New Roman"/>
                <w:b/>
                <w:bCs/>
                <w:color w:val="FFFFFF"/>
                <w:sz w:val="24"/>
                <w:szCs w:val="24"/>
              </w:rPr>
              <w:t>授课老师</w:t>
            </w:r>
          </w:p>
        </w:tc>
        <w:tc>
          <w:tcPr>
            <w:tcW w:w="735" w:type="dxa"/>
            <w:tcBorders>
              <w:top w:val="single" w:color="auto" w:sz="4" w:space="0"/>
              <w:left w:val="single" w:color="auto" w:sz="4" w:space="0"/>
              <w:bottom w:val="single" w:color="auto" w:sz="4" w:space="0"/>
              <w:right w:val="single" w:color="auto" w:sz="4" w:space="0"/>
            </w:tcBorders>
            <w:shd w:val="clear" w:color="000000" w:fill="002060"/>
            <w:vAlign w:val="center"/>
          </w:tcPr>
          <w:p w14:paraId="420CE44A">
            <w:pPr>
              <w:jc w:val="center"/>
              <w:rPr>
                <w:rFonts w:hint="eastAsia" w:ascii="Times New Roman" w:hAnsi="Times New Roman" w:eastAsia="仿宋" w:cs="Times New Roman"/>
                <w:b/>
                <w:bCs/>
                <w:sz w:val="21"/>
                <w:szCs w:val="21"/>
                <w:highlight w:val="none"/>
                <w:lang w:val="en-US" w:eastAsia="zh-CN"/>
              </w:rPr>
            </w:pPr>
            <w:r>
              <w:rPr>
                <w:rFonts w:hint="eastAsia" w:ascii="Times New Roman" w:hAnsi="Times New Roman" w:eastAsia="仿宋" w:cs="Times New Roman"/>
                <w:b/>
                <w:bCs/>
                <w:sz w:val="21"/>
                <w:szCs w:val="21"/>
                <w:highlight w:val="none"/>
                <w:lang w:val="en-US" w:eastAsia="zh-CN"/>
              </w:rPr>
              <w:t>学分</w:t>
            </w:r>
          </w:p>
        </w:tc>
        <w:tc>
          <w:tcPr>
            <w:tcW w:w="720" w:type="dxa"/>
            <w:tcBorders>
              <w:top w:val="single" w:color="auto" w:sz="4" w:space="0"/>
              <w:left w:val="single" w:color="auto" w:sz="4" w:space="0"/>
              <w:bottom w:val="single" w:color="auto" w:sz="4" w:space="0"/>
              <w:right w:val="single" w:color="auto" w:sz="4" w:space="0"/>
            </w:tcBorders>
            <w:shd w:val="clear" w:color="000000" w:fill="002060"/>
            <w:vAlign w:val="center"/>
          </w:tcPr>
          <w:p w14:paraId="420CE44B">
            <w:pPr>
              <w:jc w:val="center"/>
              <w:rPr>
                <w:rFonts w:hint="eastAsia" w:ascii="Times New Roman" w:hAnsi="Times New Roman" w:eastAsia="仿宋" w:cs="Times New Roman"/>
                <w:b/>
                <w:bCs/>
                <w:sz w:val="21"/>
                <w:szCs w:val="21"/>
                <w:highlight w:val="none"/>
                <w:lang w:val="en-US" w:eastAsia="zh-CN"/>
              </w:rPr>
            </w:pPr>
            <w:r>
              <w:rPr>
                <w:rFonts w:hint="eastAsia" w:ascii="Times New Roman" w:hAnsi="Times New Roman" w:eastAsia="仿宋" w:cs="Times New Roman"/>
                <w:b/>
                <w:bCs/>
                <w:sz w:val="21"/>
                <w:szCs w:val="21"/>
                <w:highlight w:val="none"/>
                <w:lang w:val="en-US" w:eastAsia="zh-CN"/>
              </w:rPr>
              <w:t>学时</w:t>
            </w:r>
          </w:p>
        </w:tc>
        <w:tc>
          <w:tcPr>
            <w:tcW w:w="1170" w:type="dxa"/>
            <w:tcBorders>
              <w:top w:val="single" w:color="auto" w:sz="4" w:space="0"/>
              <w:left w:val="single" w:color="auto" w:sz="4" w:space="0"/>
              <w:bottom w:val="single" w:color="auto" w:sz="4" w:space="0"/>
              <w:right w:val="single" w:color="auto" w:sz="4" w:space="0"/>
            </w:tcBorders>
            <w:shd w:val="clear" w:color="000000" w:fill="002060"/>
            <w:vAlign w:val="center"/>
          </w:tcPr>
          <w:p w14:paraId="35B7E31A">
            <w:pPr>
              <w:jc w:val="center"/>
              <w:rPr>
                <w:rFonts w:hint="eastAsia" w:ascii="Times New Roman" w:hAnsi="Times New Roman" w:eastAsia="仿宋" w:cs="Times New Roman"/>
                <w:b/>
                <w:bCs/>
                <w:sz w:val="21"/>
                <w:szCs w:val="21"/>
                <w:highlight w:val="none"/>
                <w:lang w:val="en-US" w:eastAsia="zh-CN"/>
              </w:rPr>
            </w:pPr>
            <w:r>
              <w:rPr>
                <w:rFonts w:hint="eastAsia" w:ascii="Times New Roman" w:hAnsi="Times New Roman" w:eastAsia="仿宋" w:cs="Times New Roman"/>
                <w:b/>
                <w:bCs/>
                <w:sz w:val="21"/>
                <w:szCs w:val="21"/>
                <w:highlight w:val="none"/>
                <w:lang w:val="en-US" w:eastAsia="zh-CN"/>
              </w:rPr>
              <w:t>开课学期</w:t>
            </w:r>
          </w:p>
        </w:tc>
      </w:tr>
      <w:tr w14:paraId="420CE458">
        <w:tblPrEx>
          <w:tblCellMar>
            <w:top w:w="0" w:type="dxa"/>
            <w:left w:w="108" w:type="dxa"/>
            <w:bottom w:w="0" w:type="dxa"/>
            <w:right w:w="108" w:type="dxa"/>
          </w:tblCellMar>
        </w:tblPrEx>
        <w:trPr>
          <w:trHeight w:val="822" w:hRule="atLeast"/>
        </w:trPr>
        <w:tc>
          <w:tcPr>
            <w:tcW w:w="1871" w:type="dxa"/>
            <w:tcBorders>
              <w:top w:val="single" w:color="000000" w:sz="4" w:space="0"/>
              <w:left w:val="single" w:color="000000" w:sz="4" w:space="0"/>
              <w:bottom w:val="single" w:color="000000" w:sz="4" w:space="0"/>
              <w:right w:val="single" w:color="auto" w:sz="4" w:space="0"/>
            </w:tcBorders>
            <w:vAlign w:val="center"/>
          </w:tcPr>
          <w:p w14:paraId="420CE453">
            <w:pPr>
              <w:jc w:val="center"/>
            </w:pPr>
            <w:r>
              <w:rPr>
                <w:rFonts w:hint="eastAsia"/>
              </w:rPr>
              <w:t>化学动力学I</w:t>
            </w:r>
          </w:p>
        </w:tc>
        <w:tc>
          <w:tcPr>
            <w:tcW w:w="7699" w:type="dxa"/>
            <w:tcBorders>
              <w:top w:val="single" w:color="000000" w:sz="4" w:space="0"/>
              <w:left w:val="single" w:color="auto" w:sz="4" w:space="0"/>
              <w:bottom w:val="single" w:color="000000" w:sz="4" w:space="0"/>
              <w:right w:val="single" w:color="auto" w:sz="4" w:space="0"/>
            </w:tcBorders>
            <w:vAlign w:val="center"/>
          </w:tcPr>
          <w:p w14:paraId="420CE454">
            <w:r>
              <w:rPr>
                <w:rFonts w:hint="eastAsia"/>
              </w:rPr>
              <w:t>化学动力学基本概念和原理；从量子态层次理解化学反应的发生、发展与产物的量子态和空间分布</w:t>
            </w:r>
          </w:p>
        </w:tc>
        <w:tc>
          <w:tcPr>
            <w:tcW w:w="945" w:type="dxa"/>
            <w:tcBorders>
              <w:top w:val="single" w:color="000000" w:sz="4" w:space="0"/>
              <w:left w:val="single" w:color="auto" w:sz="4" w:space="0"/>
              <w:bottom w:val="single" w:color="000000" w:sz="4" w:space="0"/>
              <w:right w:val="single" w:color="auto" w:sz="4" w:space="0"/>
            </w:tcBorders>
            <w:vAlign w:val="center"/>
          </w:tcPr>
          <w:p w14:paraId="420CE455">
            <w:pPr>
              <w:jc w:val="center"/>
            </w:pPr>
            <w:r>
              <w:rPr>
                <w:rFonts w:hint="eastAsia"/>
              </w:rPr>
              <w:t>蒋彬</w:t>
            </w:r>
          </w:p>
        </w:tc>
        <w:tc>
          <w:tcPr>
            <w:tcW w:w="735" w:type="dxa"/>
            <w:tcBorders>
              <w:top w:val="single" w:color="000000" w:sz="4" w:space="0"/>
              <w:left w:val="single" w:color="auto" w:sz="4" w:space="0"/>
              <w:bottom w:val="single" w:color="000000" w:sz="4" w:space="0"/>
              <w:right w:val="single" w:color="000000" w:sz="4" w:space="0"/>
            </w:tcBorders>
            <w:shd w:val="clear" w:color="auto" w:fill="auto"/>
            <w:vAlign w:val="center"/>
          </w:tcPr>
          <w:p w14:paraId="420CE456">
            <w:pPr>
              <w:jc w:val="center"/>
              <w:rPr>
                <w:rFonts w:hint="eastAsia"/>
                <w:lang w:val="en-US" w:eastAsia="zh-CN"/>
              </w:rPr>
            </w:pPr>
            <w:r>
              <w:rPr>
                <w:rFonts w:hint="eastAsia"/>
                <w:lang w:val="en-US" w:eastAsia="zh-CN"/>
              </w:rPr>
              <w:t>2</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14:paraId="420CE457">
            <w:pPr>
              <w:jc w:val="center"/>
              <w:rPr>
                <w:rFonts w:hint="eastAsia"/>
                <w:lang w:val="en-US" w:eastAsia="zh-CN"/>
              </w:rPr>
            </w:pPr>
            <w:r>
              <w:rPr>
                <w:rFonts w:hint="eastAsia"/>
                <w:lang w:val="en-US" w:eastAsia="zh-CN"/>
              </w:rPr>
              <w:t>40</w:t>
            </w:r>
          </w:p>
        </w:tc>
        <w:tc>
          <w:tcPr>
            <w:tcW w:w="1170" w:type="dxa"/>
            <w:tcBorders>
              <w:top w:val="single" w:color="000000" w:sz="4" w:space="0"/>
              <w:left w:val="single" w:color="auto" w:sz="4" w:space="0"/>
              <w:bottom w:val="single" w:color="000000" w:sz="4" w:space="0"/>
              <w:right w:val="single" w:color="000000" w:sz="4" w:space="0"/>
            </w:tcBorders>
            <w:vAlign w:val="center"/>
          </w:tcPr>
          <w:p w14:paraId="3EF3039A">
            <w:pPr>
              <w:jc w:val="center"/>
              <w:rPr>
                <w:rFonts w:hint="eastAsia"/>
                <w:lang w:val="en-US" w:eastAsia="zh-CN"/>
              </w:rPr>
            </w:pPr>
            <w:r>
              <w:rPr>
                <w:rFonts w:hint="eastAsia"/>
                <w:lang w:val="en-US" w:eastAsia="zh-CN"/>
              </w:rPr>
              <w:t>2026秋</w:t>
            </w:r>
          </w:p>
        </w:tc>
      </w:tr>
      <w:tr w14:paraId="420CE45E">
        <w:tblPrEx>
          <w:tblCellMar>
            <w:top w:w="0" w:type="dxa"/>
            <w:left w:w="108" w:type="dxa"/>
            <w:bottom w:w="0" w:type="dxa"/>
            <w:right w:w="108" w:type="dxa"/>
          </w:tblCellMar>
        </w:tblPrEx>
        <w:trPr>
          <w:trHeight w:val="1057" w:hRule="atLeast"/>
        </w:trPr>
        <w:tc>
          <w:tcPr>
            <w:tcW w:w="1871" w:type="dxa"/>
            <w:tcBorders>
              <w:top w:val="single" w:color="000000" w:sz="4" w:space="0"/>
              <w:left w:val="single" w:color="000000" w:sz="4" w:space="0"/>
              <w:bottom w:val="single" w:color="000000" w:sz="4" w:space="0"/>
              <w:right w:val="single" w:color="auto" w:sz="4" w:space="0"/>
            </w:tcBorders>
            <w:vAlign w:val="center"/>
          </w:tcPr>
          <w:p w14:paraId="3CAAE496">
            <w:pPr>
              <w:jc w:val="center"/>
              <w:rPr>
                <w:rFonts w:hint="eastAsia"/>
                <w:lang w:eastAsia="zh-CN"/>
              </w:rPr>
            </w:pPr>
            <w:r>
              <w:rPr>
                <w:rFonts w:hint="eastAsia"/>
              </w:rPr>
              <w:t>化学动力学II</w:t>
            </w:r>
          </w:p>
        </w:tc>
        <w:tc>
          <w:tcPr>
            <w:tcW w:w="7699" w:type="dxa"/>
            <w:tcBorders>
              <w:top w:val="single" w:color="000000" w:sz="4" w:space="0"/>
              <w:left w:val="single" w:color="auto" w:sz="4" w:space="0"/>
              <w:bottom w:val="single" w:color="000000" w:sz="4" w:space="0"/>
              <w:right w:val="single" w:color="auto" w:sz="4" w:space="0"/>
            </w:tcBorders>
            <w:shd w:val="clear" w:color="auto" w:fill="auto"/>
            <w:vAlign w:val="center"/>
          </w:tcPr>
          <w:p w14:paraId="420CE45A">
            <w:pPr>
              <w:rPr>
                <w:rFonts w:hint="eastAsia"/>
                <w:lang w:val="en-US" w:eastAsia="zh-CN"/>
              </w:rPr>
            </w:pPr>
            <w:r>
              <w:rPr>
                <w:rFonts w:hint="eastAsia"/>
              </w:rPr>
              <w:t>本课程系统介绍化学反应的微观机理，从量子态层次理解化学反应的发生、发展与产物的量子态和空间分布。课程内容主要包括：碰撞与散射、能量与电荷传递和相关实验技术三个方面的基本概念和原理</w:t>
            </w:r>
          </w:p>
        </w:tc>
        <w:tc>
          <w:tcPr>
            <w:tcW w:w="945" w:type="dxa"/>
            <w:tcBorders>
              <w:top w:val="single" w:color="000000" w:sz="4" w:space="0"/>
              <w:left w:val="single" w:color="auto" w:sz="4" w:space="0"/>
              <w:bottom w:val="single" w:color="000000" w:sz="4" w:space="0"/>
              <w:right w:val="single" w:color="auto" w:sz="4" w:space="0"/>
            </w:tcBorders>
            <w:shd w:val="clear" w:color="auto" w:fill="auto"/>
            <w:vAlign w:val="center"/>
          </w:tcPr>
          <w:p w14:paraId="420CE45B">
            <w:pPr>
              <w:jc w:val="center"/>
              <w:rPr>
                <w:rFonts w:hint="default"/>
                <w:lang w:val="en-US" w:eastAsia="zh-CN"/>
              </w:rPr>
            </w:pPr>
            <w:r>
              <w:rPr>
                <w:rFonts w:hint="eastAsia"/>
                <w:lang w:val="en-US" w:eastAsia="zh-CN"/>
              </w:rPr>
              <w:t>王兴安</w:t>
            </w:r>
          </w:p>
        </w:tc>
        <w:tc>
          <w:tcPr>
            <w:tcW w:w="735" w:type="dxa"/>
            <w:tcBorders>
              <w:top w:val="single" w:color="000000" w:sz="4" w:space="0"/>
              <w:left w:val="single" w:color="auto" w:sz="4" w:space="0"/>
              <w:bottom w:val="single" w:color="000000" w:sz="4" w:space="0"/>
              <w:right w:val="single" w:color="000000" w:sz="4" w:space="0"/>
            </w:tcBorders>
            <w:shd w:val="clear" w:color="auto" w:fill="auto"/>
            <w:vAlign w:val="center"/>
          </w:tcPr>
          <w:p w14:paraId="420CE45C">
            <w:pPr>
              <w:jc w:val="center"/>
              <w:rPr>
                <w:rFonts w:hint="eastAsia"/>
                <w:lang w:val="en-US" w:eastAsia="zh-CN"/>
              </w:rPr>
            </w:pPr>
            <w:r>
              <w:rPr>
                <w:rFonts w:hint="eastAsia"/>
                <w:lang w:val="en-US" w:eastAsia="zh-CN"/>
              </w:rPr>
              <w:t>2</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14:paraId="420CE45D">
            <w:pPr>
              <w:jc w:val="center"/>
              <w:rPr>
                <w:rFonts w:hint="eastAsia"/>
                <w:lang w:val="en-US" w:eastAsia="zh-CN"/>
              </w:rPr>
            </w:pPr>
            <w:r>
              <w:rPr>
                <w:rFonts w:hint="eastAsia"/>
                <w:lang w:val="en-US" w:eastAsia="zh-CN"/>
              </w:rPr>
              <w:t>40</w:t>
            </w:r>
          </w:p>
        </w:tc>
        <w:tc>
          <w:tcPr>
            <w:tcW w:w="1170" w:type="dxa"/>
            <w:tcBorders>
              <w:top w:val="single" w:color="000000" w:sz="4" w:space="0"/>
              <w:left w:val="single" w:color="auto" w:sz="4" w:space="0"/>
              <w:bottom w:val="single" w:color="000000" w:sz="4" w:space="0"/>
              <w:right w:val="single" w:color="000000" w:sz="4" w:space="0"/>
            </w:tcBorders>
            <w:vAlign w:val="center"/>
          </w:tcPr>
          <w:p w14:paraId="0486B577">
            <w:pPr>
              <w:jc w:val="center"/>
              <w:rPr>
                <w:rFonts w:hint="eastAsia"/>
                <w:lang w:val="en-US" w:eastAsia="zh-CN"/>
              </w:rPr>
            </w:pPr>
            <w:r>
              <w:rPr>
                <w:rFonts w:hint="eastAsia"/>
                <w:lang w:val="en-US" w:eastAsia="zh-CN"/>
              </w:rPr>
              <w:t>2026秋</w:t>
            </w:r>
          </w:p>
        </w:tc>
      </w:tr>
      <w:tr w14:paraId="4A6B5600">
        <w:tblPrEx>
          <w:tblCellMar>
            <w:top w:w="0" w:type="dxa"/>
            <w:left w:w="108" w:type="dxa"/>
            <w:bottom w:w="0" w:type="dxa"/>
            <w:right w:w="108" w:type="dxa"/>
          </w:tblCellMar>
        </w:tblPrEx>
        <w:trPr>
          <w:trHeight w:val="925" w:hRule="atLeast"/>
        </w:trPr>
        <w:tc>
          <w:tcPr>
            <w:tcW w:w="1871" w:type="dxa"/>
            <w:tcBorders>
              <w:top w:val="single" w:color="000000" w:sz="4" w:space="0"/>
              <w:left w:val="single" w:color="000000" w:sz="4" w:space="0"/>
              <w:bottom w:val="single" w:color="000000" w:sz="4" w:space="0"/>
              <w:right w:val="single" w:color="auto" w:sz="4" w:space="0"/>
            </w:tcBorders>
            <w:vAlign w:val="center"/>
          </w:tcPr>
          <w:p w14:paraId="4E59BB42">
            <w:pPr>
              <w:jc w:val="center"/>
              <w:rPr>
                <w:rFonts w:hint="eastAsia"/>
              </w:rPr>
            </w:pPr>
            <w:r>
              <w:rPr>
                <w:rFonts w:hint="eastAsia"/>
              </w:rPr>
              <w:t>密度泛函理论与实践</w:t>
            </w:r>
          </w:p>
          <w:p w14:paraId="25D64221">
            <w:pPr>
              <w:jc w:val="center"/>
              <w:rPr>
                <w:rFonts w:hint="eastAsia"/>
              </w:rPr>
            </w:pPr>
            <w:r>
              <w:rPr>
                <w:rFonts w:hint="eastAsia"/>
                <w:b/>
                <w:bCs/>
              </w:rPr>
              <w:t>WZ003001.01</w:t>
            </w:r>
          </w:p>
        </w:tc>
        <w:tc>
          <w:tcPr>
            <w:tcW w:w="7699" w:type="dxa"/>
            <w:tcBorders>
              <w:top w:val="single" w:color="000000" w:sz="4" w:space="0"/>
              <w:left w:val="single" w:color="auto" w:sz="4" w:space="0"/>
              <w:bottom w:val="single" w:color="000000" w:sz="4" w:space="0"/>
              <w:right w:val="single" w:color="auto" w:sz="4" w:space="0"/>
            </w:tcBorders>
            <w:shd w:val="clear" w:color="auto" w:fill="auto"/>
            <w:vAlign w:val="center"/>
          </w:tcPr>
          <w:p w14:paraId="41C1F86F">
            <w:pPr>
              <w:rPr>
                <w:rFonts w:hint="eastAsia"/>
                <w:lang w:val="en-US" w:eastAsia="zh-CN"/>
              </w:rPr>
            </w:pPr>
            <w:r>
              <w:rPr>
                <w:rFonts w:hint="eastAsia"/>
              </w:rPr>
              <w:t>介绍基于电子密度泛函理论方法的背景</w:t>
            </w:r>
            <w:r>
              <w:rPr>
                <w:rFonts w:hint="eastAsia"/>
                <w:lang w:eastAsia="zh-CN"/>
              </w:rPr>
              <w:t>、</w:t>
            </w:r>
            <w:r>
              <w:rPr>
                <w:rFonts w:hint="eastAsia"/>
              </w:rPr>
              <w:t>应用以及研究进展</w:t>
            </w:r>
          </w:p>
        </w:tc>
        <w:tc>
          <w:tcPr>
            <w:tcW w:w="945" w:type="dxa"/>
            <w:tcBorders>
              <w:top w:val="single" w:color="000000" w:sz="4" w:space="0"/>
              <w:left w:val="single" w:color="auto" w:sz="4" w:space="0"/>
              <w:bottom w:val="single" w:color="000000" w:sz="4" w:space="0"/>
              <w:right w:val="single" w:color="auto" w:sz="4" w:space="0"/>
            </w:tcBorders>
            <w:vAlign w:val="center"/>
          </w:tcPr>
          <w:p w14:paraId="0D540F91">
            <w:pPr>
              <w:jc w:val="center"/>
              <w:rPr>
                <w:rFonts w:hint="eastAsia"/>
              </w:rPr>
            </w:pPr>
            <w:r>
              <w:rPr>
                <w:rFonts w:hint="eastAsia"/>
              </w:rPr>
              <w:t>吴红</w:t>
            </w:r>
          </w:p>
          <w:p w14:paraId="49648F25">
            <w:pPr>
              <w:jc w:val="center"/>
            </w:pPr>
            <w:r>
              <w:rPr>
                <w:rFonts w:hint="eastAsia"/>
              </w:rPr>
              <w:t>胡伟</w:t>
            </w:r>
          </w:p>
        </w:tc>
        <w:tc>
          <w:tcPr>
            <w:tcW w:w="735" w:type="dxa"/>
            <w:tcBorders>
              <w:top w:val="single" w:color="000000" w:sz="4" w:space="0"/>
              <w:left w:val="single" w:color="auto" w:sz="4" w:space="0"/>
              <w:bottom w:val="single" w:color="000000" w:sz="4" w:space="0"/>
              <w:right w:val="single" w:color="000000" w:sz="4" w:space="0"/>
            </w:tcBorders>
            <w:vAlign w:val="center"/>
          </w:tcPr>
          <w:p w14:paraId="31D44998">
            <w:pPr>
              <w:jc w:val="center"/>
              <w:rPr>
                <w:rFonts w:hint="eastAsia"/>
                <w:lang w:val="en-US" w:eastAsia="zh-CN"/>
              </w:rPr>
            </w:pPr>
            <w:r>
              <w:rPr>
                <w:rFonts w:hint="eastAsia"/>
                <w:lang w:val="en-US" w:eastAsia="zh-CN"/>
              </w:rPr>
              <w:t>3</w:t>
            </w:r>
          </w:p>
        </w:tc>
        <w:tc>
          <w:tcPr>
            <w:tcW w:w="720" w:type="dxa"/>
            <w:tcBorders>
              <w:top w:val="single" w:color="000000" w:sz="4" w:space="0"/>
              <w:left w:val="single" w:color="auto" w:sz="4" w:space="0"/>
              <w:bottom w:val="single" w:color="000000" w:sz="4" w:space="0"/>
              <w:right w:val="single" w:color="000000" w:sz="4" w:space="0"/>
            </w:tcBorders>
            <w:vAlign w:val="center"/>
          </w:tcPr>
          <w:p w14:paraId="38182D2D">
            <w:pPr>
              <w:jc w:val="center"/>
              <w:rPr>
                <w:rFonts w:hint="eastAsia"/>
                <w:lang w:val="en-US" w:eastAsia="zh-CN"/>
              </w:rPr>
            </w:pPr>
            <w:r>
              <w:rPr>
                <w:rFonts w:hint="eastAsia"/>
                <w:lang w:val="en-US" w:eastAsia="zh-CN"/>
              </w:rPr>
              <w:t>80</w:t>
            </w:r>
          </w:p>
        </w:tc>
        <w:tc>
          <w:tcPr>
            <w:tcW w:w="1170" w:type="dxa"/>
            <w:tcBorders>
              <w:top w:val="single" w:color="000000" w:sz="4" w:space="0"/>
              <w:left w:val="single" w:color="auto" w:sz="4" w:space="0"/>
              <w:bottom w:val="single" w:color="000000" w:sz="4" w:space="0"/>
              <w:right w:val="single" w:color="000000" w:sz="4" w:space="0"/>
            </w:tcBorders>
            <w:vAlign w:val="center"/>
          </w:tcPr>
          <w:p w14:paraId="18107529">
            <w:pPr>
              <w:jc w:val="center"/>
              <w:rPr>
                <w:rFonts w:hint="eastAsia"/>
                <w:lang w:val="en-US" w:eastAsia="zh-CN"/>
              </w:rPr>
            </w:pPr>
            <w:r>
              <w:rPr>
                <w:rFonts w:hint="eastAsia"/>
                <w:lang w:val="en-US" w:eastAsia="zh-CN"/>
              </w:rPr>
              <w:t>2026秋</w:t>
            </w:r>
          </w:p>
        </w:tc>
      </w:tr>
      <w:tr w14:paraId="420CE464">
        <w:tblPrEx>
          <w:tblCellMar>
            <w:top w:w="0" w:type="dxa"/>
            <w:left w:w="108" w:type="dxa"/>
            <w:bottom w:w="0" w:type="dxa"/>
            <w:right w:w="108" w:type="dxa"/>
          </w:tblCellMar>
        </w:tblPrEx>
        <w:trPr>
          <w:trHeight w:val="994" w:hRule="atLeast"/>
        </w:trPr>
        <w:tc>
          <w:tcPr>
            <w:tcW w:w="1871" w:type="dxa"/>
            <w:tcBorders>
              <w:top w:val="single" w:color="000000" w:sz="4" w:space="0"/>
              <w:left w:val="single" w:color="000000" w:sz="4" w:space="0"/>
              <w:bottom w:val="single" w:color="000000" w:sz="4" w:space="0"/>
              <w:right w:val="single" w:color="auto" w:sz="4" w:space="0"/>
            </w:tcBorders>
            <w:vAlign w:val="center"/>
          </w:tcPr>
          <w:p w14:paraId="5CA636A4">
            <w:pPr>
              <w:jc w:val="center"/>
              <w:rPr>
                <w:rFonts w:hint="eastAsia"/>
              </w:rPr>
            </w:pPr>
            <w:r>
              <w:rPr>
                <w:rFonts w:hint="eastAsia"/>
              </w:rPr>
              <w:t>基于同步辐射的材料表界面分析</w:t>
            </w:r>
          </w:p>
          <w:p w14:paraId="75D7327A">
            <w:pPr>
              <w:jc w:val="center"/>
              <w:rPr>
                <w:rFonts w:hint="eastAsia"/>
              </w:rPr>
            </w:pPr>
            <w:r>
              <w:rPr>
                <w:rFonts w:hint="eastAsia"/>
                <w:b/>
                <w:bCs/>
              </w:rPr>
              <w:t>WZ014001.01</w:t>
            </w:r>
          </w:p>
        </w:tc>
        <w:tc>
          <w:tcPr>
            <w:tcW w:w="7699" w:type="dxa"/>
            <w:tcBorders>
              <w:top w:val="single" w:color="000000" w:sz="4" w:space="0"/>
              <w:left w:val="single" w:color="auto" w:sz="4" w:space="0"/>
              <w:bottom w:val="single" w:color="000000" w:sz="4" w:space="0"/>
              <w:right w:val="single" w:color="auto" w:sz="4" w:space="0"/>
            </w:tcBorders>
            <w:vAlign w:val="center"/>
          </w:tcPr>
          <w:p w14:paraId="420CE460">
            <w:r>
              <w:rPr>
                <w:rFonts w:hint="eastAsia"/>
              </w:rPr>
              <w:t>本课程聚焦于X射线吸收谱（XAS）技术在材料微观结构与表界面特性研究中的应用，系统讲授其在原子尺度精准表征方面的核心理论与实验方法</w:t>
            </w:r>
            <w:bookmarkStart w:id="0" w:name="_GoBack"/>
            <w:bookmarkEnd w:id="0"/>
          </w:p>
        </w:tc>
        <w:tc>
          <w:tcPr>
            <w:tcW w:w="945" w:type="dxa"/>
            <w:tcBorders>
              <w:top w:val="single" w:color="000000" w:sz="4" w:space="0"/>
              <w:left w:val="single" w:color="auto" w:sz="4" w:space="0"/>
              <w:bottom w:val="single" w:color="000000" w:sz="4" w:space="0"/>
              <w:right w:val="single" w:color="auto" w:sz="4" w:space="0"/>
            </w:tcBorders>
            <w:vAlign w:val="center"/>
          </w:tcPr>
          <w:p w14:paraId="420CE461">
            <w:pPr>
              <w:jc w:val="center"/>
            </w:pPr>
            <w:r>
              <w:rPr>
                <w:rFonts w:hint="eastAsia"/>
              </w:rPr>
              <w:t>姚涛</w:t>
            </w:r>
          </w:p>
        </w:tc>
        <w:tc>
          <w:tcPr>
            <w:tcW w:w="735" w:type="dxa"/>
            <w:tcBorders>
              <w:top w:val="single" w:color="000000" w:sz="4" w:space="0"/>
              <w:left w:val="single" w:color="auto" w:sz="4" w:space="0"/>
              <w:bottom w:val="single" w:color="000000" w:sz="4" w:space="0"/>
              <w:right w:val="single" w:color="000000" w:sz="4" w:space="0"/>
            </w:tcBorders>
            <w:shd w:val="clear" w:color="auto" w:fill="auto"/>
            <w:vAlign w:val="center"/>
          </w:tcPr>
          <w:p w14:paraId="420CE462">
            <w:pPr>
              <w:jc w:val="center"/>
              <w:rPr>
                <w:rFonts w:hint="eastAsia"/>
                <w:lang w:val="en-US" w:eastAsia="zh-CN"/>
              </w:rPr>
            </w:pPr>
            <w:r>
              <w:rPr>
                <w:rFonts w:hint="eastAsia"/>
              </w:rPr>
              <w:t>2</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14:paraId="420CE463">
            <w:pPr>
              <w:jc w:val="center"/>
              <w:rPr>
                <w:rFonts w:hint="eastAsia"/>
                <w:lang w:val="en-US" w:eastAsia="zh-CN"/>
              </w:rPr>
            </w:pPr>
            <w:r>
              <w:rPr>
                <w:rFonts w:hint="eastAsia"/>
                <w:lang w:val="en-US" w:eastAsia="zh-CN"/>
              </w:rPr>
              <w:t>4</w:t>
            </w:r>
            <w:r>
              <w:rPr>
                <w:rFonts w:hint="eastAsia"/>
              </w:rPr>
              <w:t>0</w:t>
            </w:r>
          </w:p>
        </w:tc>
        <w:tc>
          <w:tcPr>
            <w:tcW w:w="1170" w:type="dxa"/>
            <w:tcBorders>
              <w:top w:val="single" w:color="000000" w:sz="4" w:space="0"/>
              <w:left w:val="single" w:color="auto" w:sz="4" w:space="0"/>
              <w:bottom w:val="single" w:color="000000" w:sz="4" w:space="0"/>
              <w:right w:val="single" w:color="000000" w:sz="4" w:space="0"/>
            </w:tcBorders>
            <w:vAlign w:val="center"/>
          </w:tcPr>
          <w:p w14:paraId="4A20B220">
            <w:pPr>
              <w:jc w:val="center"/>
              <w:rPr>
                <w:rFonts w:hint="default"/>
                <w:lang w:val="en-US" w:eastAsia="zh-CN"/>
              </w:rPr>
            </w:pPr>
            <w:r>
              <w:rPr>
                <w:rFonts w:hint="eastAsia"/>
                <w:lang w:val="en-US" w:eastAsia="zh-CN"/>
              </w:rPr>
              <w:t>2026秋</w:t>
            </w:r>
          </w:p>
        </w:tc>
      </w:tr>
      <w:tr w14:paraId="1D268F12">
        <w:tblPrEx>
          <w:tblCellMar>
            <w:top w:w="0" w:type="dxa"/>
            <w:left w:w="108" w:type="dxa"/>
            <w:bottom w:w="0" w:type="dxa"/>
            <w:right w:w="108" w:type="dxa"/>
          </w:tblCellMar>
        </w:tblPrEx>
        <w:trPr>
          <w:trHeight w:val="1289" w:hRule="atLeast"/>
        </w:trPr>
        <w:tc>
          <w:tcPr>
            <w:tcW w:w="1871" w:type="dxa"/>
            <w:tcBorders>
              <w:top w:val="single" w:color="000000" w:sz="4" w:space="0"/>
              <w:left w:val="single" w:color="000000" w:sz="4" w:space="0"/>
              <w:bottom w:val="single" w:color="000000" w:sz="4" w:space="0"/>
              <w:right w:val="single" w:color="auto" w:sz="4" w:space="0"/>
            </w:tcBorders>
            <w:vAlign w:val="center"/>
          </w:tcPr>
          <w:p w14:paraId="70080E75">
            <w:pPr>
              <w:jc w:val="center"/>
              <w:rPr>
                <w:rFonts w:hint="eastAsia"/>
              </w:rPr>
            </w:pPr>
            <w:r>
              <w:rPr>
                <w:rFonts w:hint="eastAsia"/>
              </w:rPr>
              <w:t>人工智能原理与算法</w:t>
            </w:r>
          </w:p>
          <w:p w14:paraId="3019054F">
            <w:pPr>
              <w:jc w:val="center"/>
              <w:rPr>
                <w:rFonts w:hint="eastAsia"/>
              </w:rPr>
            </w:pPr>
            <w:r>
              <w:rPr>
                <w:rFonts w:hint="eastAsia"/>
                <w:b/>
                <w:bCs/>
              </w:rPr>
              <w:t>WZ206001M.01</w:t>
            </w:r>
          </w:p>
        </w:tc>
        <w:tc>
          <w:tcPr>
            <w:tcW w:w="7699" w:type="dxa"/>
            <w:tcBorders>
              <w:top w:val="single" w:color="000000" w:sz="4" w:space="0"/>
              <w:left w:val="single" w:color="auto" w:sz="4" w:space="0"/>
              <w:bottom w:val="single" w:color="000000" w:sz="4" w:space="0"/>
              <w:right w:val="single" w:color="auto" w:sz="4" w:space="0"/>
            </w:tcBorders>
            <w:vAlign w:val="center"/>
          </w:tcPr>
          <w:p w14:paraId="0F47DD84">
            <w:r>
              <w:rPr>
                <w:rFonts w:hint="eastAsia"/>
              </w:rPr>
              <w:t>介绍常用的统计数学工具、大数据处理技术、人工智能程序和方法，初步理解和掌握机器学习算法、人工智能在化学研究中的应用和方法</w:t>
            </w:r>
          </w:p>
        </w:tc>
        <w:tc>
          <w:tcPr>
            <w:tcW w:w="945" w:type="dxa"/>
            <w:tcBorders>
              <w:top w:val="single" w:color="000000" w:sz="4" w:space="0"/>
              <w:left w:val="single" w:color="auto" w:sz="4" w:space="0"/>
              <w:bottom w:val="single" w:color="000000" w:sz="4" w:space="0"/>
              <w:right w:val="single" w:color="auto" w:sz="4" w:space="0"/>
            </w:tcBorders>
            <w:vAlign w:val="center"/>
          </w:tcPr>
          <w:p w14:paraId="093088B7">
            <w:pPr>
              <w:jc w:val="center"/>
              <w:rPr>
                <w:rFonts w:hint="eastAsia"/>
              </w:rPr>
            </w:pPr>
            <w:r>
              <w:rPr>
                <w:rFonts w:hint="eastAsia"/>
              </w:rPr>
              <w:t>汪炀</w:t>
            </w:r>
          </w:p>
          <w:p w14:paraId="1EB1B76F">
            <w:pPr>
              <w:jc w:val="center"/>
              <w:rPr>
                <w:rFonts w:hint="eastAsia"/>
              </w:rPr>
            </w:pPr>
            <w:r>
              <w:rPr>
                <w:rFonts w:hint="eastAsia"/>
              </w:rPr>
              <w:t>周正阳</w:t>
            </w:r>
          </w:p>
          <w:p w14:paraId="423E4152">
            <w:pPr>
              <w:jc w:val="center"/>
              <w:rPr>
                <w:rFonts w:hint="eastAsia"/>
              </w:rPr>
            </w:pPr>
            <w:r>
              <w:rPr>
                <w:rFonts w:hint="eastAsia"/>
              </w:rPr>
              <w:t>王鹏焜</w:t>
            </w:r>
          </w:p>
          <w:p w14:paraId="1809ADD2">
            <w:pPr>
              <w:jc w:val="center"/>
              <w:rPr>
                <w:rFonts w:hint="eastAsia"/>
              </w:rPr>
            </w:pPr>
            <w:r>
              <w:rPr>
                <w:rFonts w:hint="eastAsia"/>
              </w:rPr>
              <w:t>王旭</w:t>
            </w:r>
          </w:p>
        </w:tc>
        <w:tc>
          <w:tcPr>
            <w:tcW w:w="735" w:type="dxa"/>
            <w:tcBorders>
              <w:top w:val="single" w:color="000000" w:sz="4" w:space="0"/>
              <w:left w:val="single" w:color="auto" w:sz="4" w:space="0"/>
              <w:bottom w:val="single" w:color="000000" w:sz="4" w:space="0"/>
              <w:right w:val="single" w:color="000000" w:sz="4" w:space="0"/>
            </w:tcBorders>
            <w:shd w:val="clear" w:color="auto" w:fill="auto"/>
            <w:vAlign w:val="center"/>
          </w:tcPr>
          <w:p w14:paraId="61C4D815">
            <w:pPr>
              <w:jc w:val="center"/>
              <w:rPr>
                <w:rFonts w:hint="eastAsia"/>
                <w:lang w:val="en-US" w:eastAsia="zh-CN"/>
              </w:rPr>
            </w:pPr>
            <w:r>
              <w:rPr>
                <w:rFonts w:hint="eastAsia"/>
              </w:rPr>
              <w:t>3</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14:paraId="66A74876">
            <w:pPr>
              <w:jc w:val="center"/>
              <w:rPr>
                <w:rFonts w:hint="eastAsia"/>
                <w:lang w:val="en-US" w:eastAsia="zh-CN"/>
              </w:rPr>
            </w:pPr>
            <w:r>
              <w:rPr>
                <w:rFonts w:hint="eastAsia"/>
                <w:lang w:val="en-US" w:eastAsia="zh-CN"/>
              </w:rPr>
              <w:t>8</w:t>
            </w:r>
            <w:r>
              <w:rPr>
                <w:rFonts w:hint="eastAsia"/>
              </w:rPr>
              <w:t>0</w:t>
            </w:r>
          </w:p>
        </w:tc>
        <w:tc>
          <w:tcPr>
            <w:tcW w:w="1170" w:type="dxa"/>
            <w:tcBorders>
              <w:top w:val="single" w:color="000000" w:sz="4" w:space="0"/>
              <w:left w:val="single" w:color="auto" w:sz="4" w:space="0"/>
              <w:bottom w:val="single" w:color="000000" w:sz="4" w:space="0"/>
              <w:right w:val="single" w:color="000000" w:sz="4" w:space="0"/>
            </w:tcBorders>
            <w:shd w:val="clear" w:color="auto" w:fill="auto"/>
            <w:vAlign w:val="center"/>
          </w:tcPr>
          <w:p w14:paraId="09B0E238">
            <w:pPr>
              <w:jc w:val="center"/>
              <w:rPr>
                <w:rFonts w:hint="eastAsia"/>
                <w:lang w:val="en-US" w:eastAsia="zh-CN"/>
              </w:rPr>
            </w:pPr>
            <w:r>
              <w:rPr>
                <w:rFonts w:hint="eastAsia"/>
                <w:lang w:val="en-US" w:eastAsia="zh-CN"/>
              </w:rPr>
              <w:t>2026秋</w:t>
            </w:r>
          </w:p>
        </w:tc>
      </w:tr>
      <w:tr w14:paraId="0FE27A3B">
        <w:tblPrEx>
          <w:tblCellMar>
            <w:top w:w="0" w:type="dxa"/>
            <w:left w:w="108" w:type="dxa"/>
            <w:bottom w:w="0" w:type="dxa"/>
            <w:right w:w="108" w:type="dxa"/>
          </w:tblCellMar>
        </w:tblPrEx>
        <w:trPr>
          <w:trHeight w:val="1644" w:hRule="atLeast"/>
        </w:trPr>
        <w:tc>
          <w:tcPr>
            <w:tcW w:w="1871" w:type="dxa"/>
            <w:tcBorders>
              <w:top w:val="single" w:color="000000" w:sz="4" w:space="0"/>
              <w:left w:val="single" w:color="000000" w:sz="4" w:space="0"/>
              <w:bottom w:val="single" w:color="000000" w:sz="4" w:space="0"/>
              <w:right w:val="single" w:color="auto" w:sz="4" w:space="0"/>
            </w:tcBorders>
            <w:vAlign w:val="center"/>
          </w:tcPr>
          <w:p w14:paraId="249D6246">
            <w:pPr>
              <w:jc w:val="center"/>
              <w:rPr>
                <w:rFonts w:hint="eastAsia"/>
              </w:rPr>
            </w:pPr>
            <w:r>
              <w:rPr>
                <w:rFonts w:hint="eastAsia"/>
              </w:rPr>
              <w:t>数据智能驱动的机器化学家探索</w:t>
            </w:r>
          </w:p>
          <w:p w14:paraId="5700405F">
            <w:pPr>
              <w:jc w:val="center"/>
              <w:rPr>
                <w:rFonts w:hint="eastAsia"/>
              </w:rPr>
            </w:pPr>
            <w:r>
              <w:rPr>
                <w:rFonts w:hint="eastAsia"/>
                <w:b/>
                <w:bCs/>
              </w:rPr>
              <w:t>WZ206002.01</w:t>
            </w:r>
          </w:p>
        </w:tc>
        <w:tc>
          <w:tcPr>
            <w:tcW w:w="7699" w:type="dxa"/>
            <w:tcBorders>
              <w:top w:val="single" w:color="000000" w:sz="4" w:space="0"/>
              <w:left w:val="single" w:color="auto" w:sz="4" w:space="0"/>
              <w:bottom w:val="single" w:color="000000" w:sz="4" w:space="0"/>
              <w:right w:val="single" w:color="auto" w:sz="4" w:space="0"/>
            </w:tcBorders>
            <w:vAlign w:val="center"/>
          </w:tcPr>
          <w:p w14:paraId="2C4EB496">
            <w:r>
              <w:rPr>
                <w:rFonts w:hint="eastAsia"/>
                <w:lang w:val="en-US" w:eastAsia="zh-CN"/>
              </w:rPr>
              <w:t>聚焦“思维智能（AI）× 行动智能（化学机器人/自动化）”在化学与材料科学研究中的深度融合与创新应用：人工智能与物质科学；化学机器人与自动化</w:t>
            </w:r>
          </w:p>
        </w:tc>
        <w:tc>
          <w:tcPr>
            <w:tcW w:w="945" w:type="dxa"/>
            <w:tcBorders>
              <w:top w:val="single" w:color="000000" w:sz="4" w:space="0"/>
              <w:left w:val="single" w:color="auto" w:sz="4" w:space="0"/>
              <w:bottom w:val="single" w:color="000000" w:sz="4" w:space="0"/>
              <w:right w:val="single" w:color="auto" w:sz="4" w:space="0"/>
            </w:tcBorders>
            <w:vAlign w:val="center"/>
          </w:tcPr>
          <w:p w14:paraId="475F981B">
            <w:pPr>
              <w:jc w:val="center"/>
              <w:rPr>
                <w:rFonts w:hint="eastAsia"/>
              </w:rPr>
            </w:pPr>
            <w:r>
              <w:rPr>
                <w:rFonts w:hint="eastAsia"/>
              </w:rPr>
              <w:t>朱濯缨</w:t>
            </w:r>
          </w:p>
          <w:p w14:paraId="1DB29A78">
            <w:pPr>
              <w:jc w:val="center"/>
              <w:rPr>
                <w:rFonts w:hint="eastAsia"/>
              </w:rPr>
            </w:pPr>
            <w:r>
              <w:rPr>
                <w:rFonts w:hint="eastAsia"/>
              </w:rPr>
              <w:t>陈林江</w:t>
            </w:r>
          </w:p>
          <w:p w14:paraId="5BB25F9A">
            <w:pPr>
              <w:jc w:val="center"/>
              <w:rPr>
                <w:rFonts w:hint="eastAsia"/>
                <w:lang w:val="en-US" w:eastAsia="zh-CN"/>
              </w:rPr>
            </w:pPr>
            <w:r>
              <w:rPr>
                <w:rFonts w:hint="eastAsia"/>
                <w:lang w:val="en-US" w:eastAsia="zh-CN"/>
              </w:rPr>
              <w:t>李小波</w:t>
            </w:r>
          </w:p>
        </w:tc>
        <w:tc>
          <w:tcPr>
            <w:tcW w:w="735" w:type="dxa"/>
            <w:tcBorders>
              <w:top w:val="single" w:color="000000" w:sz="4" w:space="0"/>
              <w:left w:val="single" w:color="auto" w:sz="4" w:space="0"/>
              <w:bottom w:val="single" w:color="000000" w:sz="4" w:space="0"/>
              <w:right w:val="single" w:color="000000" w:sz="4" w:space="0"/>
            </w:tcBorders>
            <w:shd w:val="clear" w:color="auto" w:fill="auto"/>
            <w:vAlign w:val="center"/>
          </w:tcPr>
          <w:p w14:paraId="7FCCF2E3">
            <w:pPr>
              <w:jc w:val="center"/>
              <w:rPr>
                <w:rFonts w:hint="eastAsia"/>
                <w:lang w:val="en-US" w:eastAsia="zh-CN"/>
              </w:rPr>
            </w:pPr>
            <w:r>
              <w:rPr>
                <w:rFonts w:hint="eastAsia"/>
                <w:lang w:val="en-US" w:eastAsia="zh-CN"/>
              </w:rPr>
              <w:t>3</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14:paraId="390EBE86">
            <w:pPr>
              <w:jc w:val="center"/>
              <w:rPr>
                <w:rFonts w:hint="default"/>
                <w:lang w:val="en-US" w:eastAsia="zh-CN"/>
              </w:rPr>
            </w:pPr>
            <w:r>
              <w:rPr>
                <w:rFonts w:hint="eastAsia"/>
                <w:lang w:val="en-US" w:eastAsia="zh-CN"/>
              </w:rPr>
              <w:t>80</w:t>
            </w:r>
          </w:p>
        </w:tc>
        <w:tc>
          <w:tcPr>
            <w:tcW w:w="1170" w:type="dxa"/>
            <w:tcBorders>
              <w:top w:val="single" w:color="000000" w:sz="4" w:space="0"/>
              <w:left w:val="single" w:color="auto" w:sz="4" w:space="0"/>
              <w:bottom w:val="single" w:color="000000" w:sz="4" w:space="0"/>
              <w:right w:val="single" w:color="000000" w:sz="4" w:space="0"/>
            </w:tcBorders>
            <w:shd w:val="clear" w:color="auto" w:fill="auto"/>
            <w:vAlign w:val="center"/>
          </w:tcPr>
          <w:p w14:paraId="366589A7">
            <w:pPr>
              <w:jc w:val="center"/>
              <w:rPr>
                <w:rFonts w:hint="eastAsia"/>
                <w:lang w:val="en-US" w:eastAsia="zh-CN"/>
              </w:rPr>
            </w:pPr>
            <w:r>
              <w:rPr>
                <w:rFonts w:hint="eastAsia"/>
                <w:lang w:val="en-US" w:eastAsia="zh-CN"/>
              </w:rPr>
              <w:t>2026秋</w:t>
            </w:r>
          </w:p>
        </w:tc>
      </w:tr>
      <w:tr w14:paraId="0071A6BD">
        <w:tblPrEx>
          <w:tblCellMar>
            <w:top w:w="0" w:type="dxa"/>
            <w:left w:w="108" w:type="dxa"/>
            <w:bottom w:w="0" w:type="dxa"/>
            <w:right w:w="108" w:type="dxa"/>
          </w:tblCellMar>
        </w:tblPrEx>
        <w:trPr>
          <w:trHeight w:val="1644" w:hRule="atLeast"/>
        </w:trPr>
        <w:tc>
          <w:tcPr>
            <w:tcW w:w="1871" w:type="dxa"/>
            <w:tcBorders>
              <w:top w:val="single" w:color="000000" w:sz="4" w:space="0"/>
              <w:left w:val="single" w:color="000000" w:sz="4" w:space="0"/>
              <w:bottom w:val="single" w:color="000000" w:sz="4" w:space="0"/>
              <w:right w:val="single" w:color="auto" w:sz="4" w:space="0"/>
            </w:tcBorders>
            <w:vAlign w:val="center"/>
          </w:tcPr>
          <w:p w14:paraId="7CEE660D">
            <w:pPr>
              <w:jc w:val="center"/>
              <w:rPr>
                <w:rFonts w:hint="eastAsia"/>
              </w:rPr>
            </w:pPr>
            <w:r>
              <w:rPr>
                <w:rFonts w:hint="eastAsia"/>
              </w:rPr>
              <w:t>智能谱学与物质科学研究</w:t>
            </w:r>
            <w:r>
              <w:rPr>
                <w:rFonts w:hint="eastAsia"/>
              </w:rPr>
              <w:br w:type="textWrapping"/>
            </w:r>
            <w:r>
              <w:rPr>
                <w:rFonts w:hint="eastAsia"/>
                <w:b/>
                <w:bCs/>
              </w:rPr>
              <w:t>CHEM4008</w:t>
            </w:r>
          </w:p>
        </w:tc>
        <w:tc>
          <w:tcPr>
            <w:tcW w:w="7699" w:type="dxa"/>
            <w:tcBorders>
              <w:top w:val="single" w:color="000000" w:sz="4" w:space="0"/>
              <w:left w:val="single" w:color="auto" w:sz="4" w:space="0"/>
              <w:bottom w:val="single" w:color="000000" w:sz="4" w:space="0"/>
              <w:right w:val="single" w:color="auto" w:sz="4" w:space="0"/>
            </w:tcBorders>
            <w:vAlign w:val="center"/>
          </w:tcPr>
          <w:p w14:paraId="4ECD6D47">
            <w:r>
              <w:rPr>
                <w:rFonts w:hint="eastAsia"/>
                <w:lang w:val="en-US" w:eastAsia="zh-CN"/>
              </w:rPr>
              <w:t>本课程围绕分子与材料的光谱解析与结构反演问题，重点介绍如何借助机器学习手段实现光谱数据的智能建模与分子结构的精准预测。在系统讲解红外、拉曼、核磁共振、紫外-可见吸收、质谱和X射线等常用光谱技术基本原理的基础上，课程深入介绍量子化学、分子动力学与机器学习等多源建模方法</w:t>
            </w:r>
          </w:p>
        </w:tc>
        <w:tc>
          <w:tcPr>
            <w:tcW w:w="945" w:type="dxa"/>
            <w:tcBorders>
              <w:top w:val="single" w:color="000000" w:sz="4" w:space="0"/>
              <w:left w:val="single" w:color="auto" w:sz="4" w:space="0"/>
              <w:bottom w:val="single" w:color="000000" w:sz="4" w:space="0"/>
              <w:right w:val="single" w:color="auto" w:sz="4" w:space="0"/>
            </w:tcBorders>
            <w:vAlign w:val="center"/>
          </w:tcPr>
          <w:p w14:paraId="661718A7">
            <w:pPr>
              <w:jc w:val="center"/>
              <w:rPr>
                <w:rFonts w:hint="eastAsia"/>
                <w:lang w:val="en-US" w:eastAsia="zh-CN"/>
              </w:rPr>
            </w:pPr>
            <w:r>
              <w:rPr>
                <w:rFonts w:hint="eastAsia"/>
                <w:lang w:val="en-US" w:eastAsia="zh-CN"/>
              </w:rPr>
              <w:t>胡伟</w:t>
            </w:r>
          </w:p>
        </w:tc>
        <w:tc>
          <w:tcPr>
            <w:tcW w:w="735" w:type="dxa"/>
            <w:tcBorders>
              <w:top w:val="single" w:color="000000" w:sz="4" w:space="0"/>
              <w:left w:val="single" w:color="auto" w:sz="4" w:space="0"/>
              <w:bottom w:val="single" w:color="000000" w:sz="4" w:space="0"/>
              <w:right w:val="single" w:color="000000" w:sz="4" w:space="0"/>
            </w:tcBorders>
            <w:shd w:val="clear" w:color="auto" w:fill="auto"/>
            <w:vAlign w:val="center"/>
          </w:tcPr>
          <w:p w14:paraId="2F097098">
            <w:pPr>
              <w:jc w:val="center"/>
              <w:rPr>
                <w:rFonts w:hint="eastAsia"/>
                <w:lang w:val="en-US" w:eastAsia="zh-CN"/>
              </w:rPr>
            </w:pPr>
            <w:r>
              <w:rPr>
                <w:rFonts w:hint="eastAsia"/>
              </w:rPr>
              <w:t>2</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14:paraId="49284896">
            <w:pPr>
              <w:jc w:val="center"/>
              <w:rPr>
                <w:rFonts w:hint="eastAsia"/>
                <w:lang w:val="en-US" w:eastAsia="zh-CN"/>
              </w:rPr>
            </w:pPr>
            <w:r>
              <w:rPr>
                <w:rFonts w:hint="eastAsia"/>
              </w:rPr>
              <w:t>40</w:t>
            </w:r>
          </w:p>
        </w:tc>
        <w:tc>
          <w:tcPr>
            <w:tcW w:w="1170" w:type="dxa"/>
            <w:tcBorders>
              <w:top w:val="single" w:color="000000" w:sz="4" w:space="0"/>
              <w:left w:val="single" w:color="auto" w:sz="4" w:space="0"/>
              <w:bottom w:val="single" w:color="000000" w:sz="4" w:space="0"/>
              <w:right w:val="single" w:color="000000" w:sz="4" w:space="0"/>
            </w:tcBorders>
            <w:vAlign w:val="center"/>
          </w:tcPr>
          <w:p w14:paraId="343F1786">
            <w:pPr>
              <w:jc w:val="center"/>
              <w:rPr>
                <w:rFonts w:hint="eastAsia"/>
                <w:lang w:val="en-US" w:eastAsia="zh-CN"/>
              </w:rPr>
            </w:pPr>
            <w:r>
              <w:rPr>
                <w:rFonts w:hint="eastAsia"/>
                <w:lang w:val="en-US" w:eastAsia="zh-CN"/>
              </w:rPr>
              <w:t>2026秋</w:t>
            </w:r>
          </w:p>
        </w:tc>
      </w:tr>
    </w:tbl>
    <w:p w14:paraId="25B856E8"/>
    <w:sectPr>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7127A"/>
    <w:rsid w:val="1B17127A"/>
    <w:rsid w:val="3FB077FE"/>
    <w:rsid w:val="56450363"/>
    <w:rsid w:val="621B317A"/>
    <w:rsid w:val="64663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665</Words>
  <Characters>748</Characters>
  <Lines>0</Lines>
  <Paragraphs>0</Paragraphs>
  <TotalTime>7</TotalTime>
  <ScaleCrop>false</ScaleCrop>
  <LinksUpToDate>false</LinksUpToDate>
  <CharactersWithSpaces>749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2026-07-27T14:55:00Z</dcterms:created>
  <dc:creator>WPS_1624343112</dc:creator>
  <cp:lastModifiedBy>象象</cp:lastModifiedBy>
  <dcterms:modified xsi:type="dcterms:W3CDTF">2026-07-29T08:35:35Z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9322E5C80FD6491DAF764FCD713B502C_13</vt:lpwstr>
  </property>
  <property fmtid="{D5CDD505-2E9C-101B-9397-08002B2CF9AE}" pid="4" name="KSOTemplateDocerSaveRecord">
    <vt:lpwstr>eyJoZGlkIjoiN2ZkN2U0NTE2ZWZjNGNkOGYwMTY5ODIwZjEyYjUxNGMiLCJ1c2VySWQiOiIxMjI0MDE5NTQ0In0=</vt:lpwstr>
  </property>
</Properties>
</file>